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AF9C" w14:textId="44B1699A" w:rsidR="00A627C0" w:rsidRDefault="00A627C0" w:rsidP="00A627C0">
      <w:pPr>
        <w:spacing w:afterLines="50" w:after="156"/>
        <w:rPr>
          <w:rFonts w:hint="eastAsia"/>
          <w:sz w:val="32"/>
          <w:szCs w:val="32"/>
          <w:lang w:eastAsia="zh-CN"/>
        </w:rPr>
      </w:pPr>
      <w:bookmarkStart w:id="0" w:name="OLE_LINK1"/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eastAsia="zh-CN"/>
        </w:rPr>
        <w:t>4</w:t>
      </w:r>
      <w:r>
        <w:rPr>
          <w:rFonts w:hint="eastAsia"/>
          <w:sz w:val="32"/>
          <w:szCs w:val="32"/>
          <w:lang w:eastAsia="zh-CN"/>
        </w:rPr>
        <w:t>年度代表性文章</w:t>
      </w:r>
    </w:p>
    <w:tbl>
      <w:tblPr>
        <w:tblW w:w="13229" w:type="dxa"/>
        <w:tblLook w:val="04A0" w:firstRow="1" w:lastRow="0" w:firstColumn="1" w:lastColumn="0" w:noHBand="0" w:noVBand="1"/>
      </w:tblPr>
      <w:tblGrid>
        <w:gridCol w:w="816"/>
        <w:gridCol w:w="2655"/>
        <w:gridCol w:w="1621"/>
        <w:gridCol w:w="1135"/>
        <w:gridCol w:w="1339"/>
        <w:gridCol w:w="1699"/>
        <w:gridCol w:w="1982"/>
        <w:gridCol w:w="1982"/>
      </w:tblGrid>
      <w:tr w:rsidR="0001685B" w14:paraId="5C14563A" w14:textId="15E2AE1C" w:rsidTr="0001685B">
        <w:trPr>
          <w:trHeight w:val="51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14:paraId="0CE4AC14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A3D21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论文名称</w:t>
            </w:r>
            <w:proofErr w:type="spell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7E7DE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期刊名称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470A9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作者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2F0F0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卷、期</w:t>
            </w:r>
            <w:proofErr w:type="spellEnd"/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21675" w14:textId="77777777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页面范围</w:t>
            </w:r>
            <w:proofErr w:type="spellEnd"/>
            <w:r w:rsidRPr="00A627C0">
              <w:rPr>
                <w:rFonts w:eastAsiaTheme="minorHAnsi" w:cs="Times New Roman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文章号</w:t>
            </w:r>
            <w:proofErr w:type="spellEnd"/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572EA" w14:textId="39B418AB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收录类别</w:t>
            </w:r>
            <w:proofErr w:type="spellEnd"/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E3772" w14:textId="0015BF10" w:rsidR="0001685B" w:rsidRPr="00A627C0" w:rsidRDefault="0001685B" w:rsidP="0001685B">
            <w:pPr>
              <w:spacing w:afterLines="50" w:after="156"/>
              <w:jc w:val="center"/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eastAsiaTheme="minorHAnsi" w:cs="宋体" w:hint="eastAsia"/>
                <w:b/>
                <w:bCs/>
                <w:color w:val="000000"/>
                <w:sz w:val="22"/>
                <w:szCs w:val="22"/>
              </w:rPr>
              <w:t>影响因子</w:t>
            </w:r>
            <w:proofErr w:type="spellEnd"/>
          </w:p>
        </w:tc>
      </w:tr>
      <w:tr w:rsidR="0001685B" w14:paraId="5576DB68" w14:textId="51E1F0FF" w:rsidTr="0001685B">
        <w:trPr>
          <w:trHeight w:val="49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CD31A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B52BB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Gut symbionts alleviate MASH through a secondary bile acid biosynthetic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pathway.*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191F2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E9C0F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姜长涛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5EBE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187(11)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6D71A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2717-2734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438E8" w14:textId="4D232825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745A5" w14:textId="5D4F841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45.6</w:t>
            </w:r>
          </w:p>
        </w:tc>
      </w:tr>
      <w:tr w:rsidR="0001685B" w14:paraId="35EC805C" w14:textId="3A67B112" w:rsidTr="0001685B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C124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5098C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Structure-based design of non-hypertrophic apelin receptor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modulator.*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C3A1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45595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张岩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40E7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AF2AC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1460-1475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25997" w14:textId="58C7ECF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0C91F" w14:textId="4E8AE71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45.5</w:t>
            </w:r>
          </w:p>
        </w:tc>
      </w:tr>
      <w:tr w:rsidR="0001685B" w14:paraId="7E5EEBF8" w14:textId="34306BFA" w:rsidTr="0001685B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5150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46B95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Toward cleaner air and better health: Current state, challenges, and priorities*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01C4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725CF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黄薇（公卫</w:t>
            </w:r>
            <w:proofErr w:type="spellEnd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24C7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B6783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386-390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F11E8" w14:textId="08DB3559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B14C3" w14:textId="41D0D73E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44.8</w:t>
            </w:r>
          </w:p>
        </w:tc>
      </w:tr>
      <w:tr w:rsidR="0001685B" w14:paraId="03E1221F" w14:textId="15DA30FC" w:rsidTr="0001685B">
        <w:trPr>
          <w:trHeight w:val="492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C2AFE" w14:textId="134B325C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9F7F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>Optimising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 xml:space="preserve"> vaccine immunogenicity in ageing populations: key strategies*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A8038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The Lancet Infectious Diseases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5485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赵东宇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4D16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S1473-3099</w:t>
            </w: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br/>
              <w:t>(24)00497-3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12A5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10.1016/S1473-</w:t>
            </w: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br/>
              <w:t>3099(24)00497-3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11AA4" w14:textId="7E81A100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5E872" w14:textId="255090B0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36.4</w:t>
            </w:r>
          </w:p>
        </w:tc>
      </w:tr>
      <w:tr w:rsidR="0001685B" w14:paraId="2298E3F2" w14:textId="08034066" w:rsidTr="0001685B">
        <w:trPr>
          <w:trHeight w:val="49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6B7AE" w14:textId="5B3E8ACF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185CC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MicroRNA-122-Mediated Liver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Detargeting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 Enhances the Tissue </w:t>
            </w: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lastRenderedPageBreak/>
              <w:t>Specificity of Cardiac Genome Editing*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6B90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lastRenderedPageBreak/>
              <w:t>Circulation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579C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郭宇轩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E96E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149(22)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FBED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1778-1781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C1664" w14:textId="4E0A7509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A3A94" w14:textId="1ECB78B2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35.5</w:t>
            </w:r>
          </w:p>
        </w:tc>
      </w:tr>
      <w:tr w:rsidR="0001685B" w14:paraId="222063E8" w14:textId="0C364272" w:rsidTr="0001685B">
        <w:trPr>
          <w:trHeight w:val="54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D8A56" w14:textId="46F7418F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0F3C3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Extracellular RIPK3 Acts as a Danger-Associated Molecular Pattern to Exaggerate Cardiac Ischemia/Reperfusion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Injury.*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4569B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Circulation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413B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刘</w:t>
            </w:r>
            <w:proofErr w:type="gram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雅涵/</w:t>
            </w:r>
            <w:proofErr w:type="gramEnd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李盈佳/董尔丹/张岩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409A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Online ahead of print.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20BEC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Online ahead of print.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D24B0" w14:textId="0238B3D0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FBA80" w14:textId="7EE20673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35.5</w:t>
            </w:r>
          </w:p>
        </w:tc>
      </w:tr>
      <w:tr w:rsidR="0001685B" w14:paraId="577BFC41" w14:textId="42C284FC" w:rsidTr="0001685B">
        <w:trPr>
          <w:trHeight w:val="60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588D5" w14:textId="4E3F76F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F2D25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Phosphorylation-Regulated Dynamic Phase Separation of HIP-55 Protects Against Heart Failure*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3AF25" w14:textId="1CE2ADDC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Circulation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8EA0D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 w:hint="eastAsia"/>
                <w:color w:val="000000"/>
                <w:sz w:val="22"/>
                <w:szCs w:val="22"/>
              </w:rPr>
              <w:t>李子健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7BA7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2024;150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86EB5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938–951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5E996" w14:textId="5456E85C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49223" w14:textId="401E560D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35.5</w:t>
            </w:r>
          </w:p>
        </w:tc>
      </w:tr>
      <w:tr w:rsidR="0001685B" w14:paraId="7D868E3C" w14:textId="02171359" w:rsidTr="0001685B">
        <w:trPr>
          <w:trHeight w:val="49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93609" w14:textId="2502B0E5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ACAB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Sensing steroid hormone 17α-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hydroxypregnenolone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 by GPR56 enables protection from ferroptosis-induced liver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injury.*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09BD7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 Metabolism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3C83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 w:hint="eastAsia"/>
                <w:color w:val="000000"/>
                <w:sz w:val="22"/>
                <w:szCs w:val="22"/>
              </w:rPr>
              <w:t>孙金鹏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3E4E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2024 Oct 4; S1550-4131(24)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066DA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00371-1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82288" w14:textId="251CFB4D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DED83" w14:textId="66D7F65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01685B" w14:paraId="1870B391" w14:textId="2A9D8C91" w:rsidTr="0001685B">
        <w:trPr>
          <w:trHeight w:val="49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B9A38" w14:textId="5152109F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82B17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A microbial metabolite inhibits the HIF-2a-ceramide a-ceramide pathway to mediate the beneficial effects of time-</w:t>
            </w: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lastRenderedPageBreak/>
              <w:t xml:space="preserve">restricted feeding on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MASH.*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9D58B" w14:textId="42BB4E10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lastRenderedPageBreak/>
              <w:t>Cell Metabolism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D58FB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姜长涛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B4EE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36(8)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DE254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1823-1838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4EF83" w14:textId="12E4D39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65636" w14:textId="0611EAE8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27.7</w:t>
            </w:r>
          </w:p>
        </w:tc>
      </w:tr>
      <w:tr w:rsidR="0001685B" w14:paraId="0AF71E63" w14:textId="4EC65705" w:rsidTr="0001685B">
        <w:trPr>
          <w:trHeight w:val="492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58FAD" w14:textId="46A2E2C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5BD1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FcRn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-dependent IgG Accumulation in Adipose Tissue Unmasks Obesity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Pathophysiology.*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2C0CB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 Metabolism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C92F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汪丽恒</w:t>
            </w:r>
            <w:proofErr w:type="spellEnd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强力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FDFBC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6F163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1-17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FED43" w14:textId="6F9596A0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528F8" w14:textId="786D797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27.7</w:t>
            </w:r>
          </w:p>
        </w:tc>
      </w:tr>
      <w:tr w:rsidR="0001685B" w14:paraId="705DF0F1" w14:textId="230176E1" w:rsidTr="0001685B">
        <w:trPr>
          <w:trHeight w:val="51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57104" w14:textId="39611FFA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DD87FF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IgG is an Aging Factor to Drive Adipose Tissue Fibrosis and Metabolic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Decline.*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B7459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 Metabolism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9490D4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汪丽恒</w:t>
            </w:r>
            <w:proofErr w:type="spellEnd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强力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84F0E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19B5BD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1-14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19F255" w14:textId="58C06B5D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3A65D7" w14:textId="1AD959A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27.7</w:t>
            </w:r>
          </w:p>
        </w:tc>
      </w:tr>
      <w:tr w:rsidR="0001685B" w14:paraId="3451D707" w14:textId="77777777" w:rsidTr="0001685B">
        <w:trPr>
          <w:trHeight w:val="38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FD288" w14:textId="562C8F2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C688C" w14:textId="4DF9C743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Annexin A1 binds PDZ and LIM domain 7 to inhibit adipogenesis and prevent obesity*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3A518" w14:textId="025E2571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Signal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Transduct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Target Ther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14238" w14:textId="70CF1A31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郑乐民、郭宇轩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6102C" w14:textId="542CC835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9(1)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739CE" w14:textId="5509742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17B2A" w14:textId="66B96F9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EC03D" w14:textId="72FA6D2F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40.8</w:t>
            </w:r>
          </w:p>
        </w:tc>
      </w:tr>
      <w:tr w:rsidR="0001685B" w14:paraId="3330F2D1" w14:textId="77777777" w:rsidTr="0001685B">
        <w:trPr>
          <w:trHeight w:val="38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8A7E7" w14:textId="1113A10A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E1B7D" w14:textId="0C3B9DE9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Ribosomal modification protein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rimK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-like family member A activates betaine-homocysteine S-methyltransferase 1 to ameliorate hepatic steatosis*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16AB2" w14:textId="6625B49B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Signal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Transduct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Target Ther.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6F1CE" w14:textId="4F8E8AA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杨吉春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715B8" w14:textId="2A6A1B89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2024,9(1)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92249" w14:textId="43AF1BB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54C39" w14:textId="2FC6A66D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9EA5E" w14:textId="72EB7BDC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40.8</w:t>
            </w:r>
          </w:p>
        </w:tc>
      </w:tr>
      <w:tr w:rsidR="0001685B" w14:paraId="252F59D5" w14:textId="77777777" w:rsidTr="0001685B">
        <w:trPr>
          <w:trHeight w:val="38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6F634" w14:textId="0F207EB6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FDC98" w14:textId="778396C5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Promising dawn in the management of </w:t>
            </w: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lastRenderedPageBreak/>
              <w:t xml:space="preserve">pulmonary hypertension: The mystery veil of gut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microbiota.*</w:t>
            </w:r>
            <w:proofErr w:type="gramEnd"/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E7370" w14:textId="0E3BEE58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lastRenderedPageBreak/>
              <w:t>iMeta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F3659" w14:textId="2C33534D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Times New Roman" w:hint="eastAsia"/>
                <w:color w:val="000000"/>
                <w:sz w:val="22"/>
                <w:szCs w:val="22"/>
              </w:rPr>
              <w:t>郑乐民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4EA0C" w14:textId="480F86B1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3(2)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38F9F" w14:textId="16AF065A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e159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9A89F" w14:textId="53935A33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697EF" w14:textId="56F83682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23.7</w:t>
            </w:r>
          </w:p>
        </w:tc>
      </w:tr>
      <w:tr w:rsidR="0001685B" w14:paraId="2D61B762" w14:textId="6AB84F34" w:rsidTr="0001685B">
        <w:trPr>
          <w:trHeight w:val="44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DB2E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61D4B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>Joint impact of polygenic risk score and lifestyles on early- and late-onset cardiovascular diseases*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E8F0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sz w:val="22"/>
                <w:szCs w:val="22"/>
              </w:rPr>
              <w:t xml:space="preserve">Nat Hum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i/>
                <w:iCs/>
                <w:sz w:val="22"/>
                <w:szCs w:val="22"/>
              </w:rPr>
              <w:t>Behav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21DE0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sz w:val="22"/>
                <w:szCs w:val="22"/>
              </w:rPr>
              <w:t>吕筠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0EA6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>8(9)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D2499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>1810-1818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DFD35" w14:textId="3D9CEA0E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3746E" w14:textId="1D2AAB52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sz w:val="22"/>
                <w:szCs w:val="22"/>
              </w:rPr>
              <w:t>21.4</w:t>
            </w:r>
          </w:p>
        </w:tc>
      </w:tr>
      <w:tr w:rsidR="0001685B" w14:paraId="1BD767BE" w14:textId="54566113" w:rsidTr="0001685B">
        <w:trPr>
          <w:trHeight w:val="49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4EE1D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F9B43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Candida albicans accelerates atherosclerosis by activating intestinal hypoxia-inducible factor2 a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signaling.*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4332D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Cell Host Microbe.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82B7F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姜长涛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99941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32(6)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91E98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964-979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17E71" w14:textId="47CBE783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6E9D3" w14:textId="08FB3A64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20.6</w:t>
            </w:r>
          </w:p>
        </w:tc>
      </w:tr>
      <w:tr w:rsidR="0001685B" w14:paraId="218D5048" w14:textId="1FD507EA" w:rsidTr="0001685B">
        <w:trPr>
          <w:trHeight w:val="66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3922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BC45A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Gut commensal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Christensenella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minuta</w:t>
            </w:r>
            <w:proofErr w:type="spellEnd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 xml:space="preserve"> modulates host metabolism via acylated secondary bile </w:t>
            </w:r>
            <w:proofErr w:type="gramStart"/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acids.*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8A223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i/>
                <w:iCs/>
                <w:color w:val="000000"/>
                <w:sz w:val="22"/>
                <w:szCs w:val="22"/>
              </w:rPr>
              <w:t>Nat Microbiol.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4A826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</w:pPr>
            <w:proofErr w:type="spellStart"/>
            <w:r w:rsidRPr="00A627C0">
              <w:rPr>
                <w:rFonts w:asciiTheme="majorHAnsi" w:eastAsiaTheme="majorHAnsi" w:hAnsiTheme="majorHAnsi" w:cs="宋体" w:hint="eastAsia"/>
                <w:color w:val="000000"/>
                <w:sz w:val="22"/>
                <w:szCs w:val="22"/>
              </w:rPr>
              <w:t>姜长涛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388C8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9(2)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3255E" w14:textId="77777777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434-450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8928E" w14:textId="747D70EA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D61B1" w14:textId="28FBBA63" w:rsidR="0001685B" w:rsidRPr="00A627C0" w:rsidRDefault="0001685B" w:rsidP="0001685B">
            <w:pPr>
              <w:spacing w:afterLines="50" w:after="156"/>
              <w:jc w:val="center"/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</w:pPr>
            <w:r w:rsidRPr="00A627C0">
              <w:rPr>
                <w:rFonts w:asciiTheme="majorHAnsi" w:eastAsiaTheme="majorHAnsi" w:hAnsiTheme="majorHAnsi" w:cs="Times New Roman"/>
                <w:color w:val="000000"/>
                <w:sz w:val="22"/>
                <w:szCs w:val="22"/>
              </w:rPr>
              <w:t>20.5</w:t>
            </w:r>
          </w:p>
        </w:tc>
      </w:tr>
    </w:tbl>
    <w:p w14:paraId="2BCA59D3" w14:textId="77777777" w:rsidR="00A627C0" w:rsidRDefault="00A627C0">
      <w:pPr>
        <w:rPr>
          <w:rFonts w:hint="eastAsia"/>
        </w:rPr>
      </w:pPr>
    </w:p>
    <w:sectPr w:rsidR="00A627C0" w:rsidSect="00A627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97E3" w14:textId="77777777" w:rsidR="001312F3" w:rsidRDefault="001312F3" w:rsidP="00A627C0">
      <w:pPr>
        <w:rPr>
          <w:rFonts w:hint="eastAsia"/>
        </w:rPr>
      </w:pPr>
      <w:r>
        <w:separator/>
      </w:r>
    </w:p>
  </w:endnote>
  <w:endnote w:type="continuationSeparator" w:id="0">
    <w:p w14:paraId="7CC9BF7D" w14:textId="77777777" w:rsidR="001312F3" w:rsidRDefault="001312F3" w:rsidP="00A627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948C" w14:textId="77777777" w:rsidR="001312F3" w:rsidRDefault="001312F3" w:rsidP="00A627C0">
      <w:pPr>
        <w:rPr>
          <w:rFonts w:hint="eastAsia"/>
        </w:rPr>
      </w:pPr>
      <w:r>
        <w:separator/>
      </w:r>
    </w:p>
  </w:footnote>
  <w:footnote w:type="continuationSeparator" w:id="0">
    <w:p w14:paraId="5ABDBE86" w14:textId="77777777" w:rsidR="001312F3" w:rsidRDefault="001312F3" w:rsidP="00A627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3"/>
    <w:rsid w:val="0001685B"/>
    <w:rsid w:val="001312F3"/>
    <w:rsid w:val="001D7273"/>
    <w:rsid w:val="001F1634"/>
    <w:rsid w:val="00356313"/>
    <w:rsid w:val="005D5CEF"/>
    <w:rsid w:val="0075009B"/>
    <w:rsid w:val="00A627C0"/>
    <w:rsid w:val="00BF2345"/>
    <w:rsid w:val="00E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21574"/>
  <w15:chartTrackingRefBased/>
  <w15:docId w15:val="{32BF5437-97BE-4BC7-8ACA-91294342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7C0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7273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7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7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73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73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73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73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73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73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7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1D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7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1D7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73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1D7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73"/>
    <w:pPr>
      <w:widowControl w:val="0"/>
      <w:ind w:left="720"/>
      <w:contextualSpacing/>
      <w:jc w:val="both"/>
    </w:pPr>
    <w:rPr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1D7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7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1D7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27C0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A627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27C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A62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4</cp:revision>
  <dcterms:created xsi:type="dcterms:W3CDTF">2026-03-30T02:58:00Z</dcterms:created>
  <dcterms:modified xsi:type="dcterms:W3CDTF">2026-03-30T03:08:00Z</dcterms:modified>
</cp:coreProperties>
</file>